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Hudson Riehle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Association's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August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100.9,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0.1%.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traffic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dampened.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August,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66%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expenditure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expenditure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August,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remains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633,000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hefty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5.1%.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August,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wholesale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elevated,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15.5%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year-to-date.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wholesale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1974.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surprisingly,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commodity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substantial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gains.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eggs,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potatoes,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vegetables,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chicken,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beef.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August,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7.2%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year-to-date.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grocery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11%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year-to-date,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remains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elevated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comparison.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1981.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August,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100.9,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0.1%.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18,000.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Wholesale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August,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year-to-date,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15.5%.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7.2%.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Restaurant.org.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Restaurant Industry Update August 2022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Oct 20, 2022 -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c-editor/Edit?token=hp1rtXBZXmU5uQ_3v-I6-gZrLVTGwo7hgD_M5wLH6LeSvMPZtkkj1YCEwRxxA_FwPqECUIocS8P2KxaJgSEeC2cJ3jQ&amp;loadFrom=DocumentHeaderDeepLink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